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290" w:lineRule="atLeast"/>
        <w:ind w:left="0" w:right="0" w:firstLine="28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333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333"/>
          <w:spacing w:val="0"/>
          <w:sz w:val="28"/>
          <w:szCs w:val="28"/>
          <w:shd w:val="clear" w:fill="FFFFFF"/>
        </w:rPr>
        <w:t>《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333"/>
          <w:spacing w:val="0"/>
          <w:sz w:val="28"/>
          <w:szCs w:val="28"/>
          <w:shd w:val="clear" w:fill="FFFFFF"/>
          <w:lang w:eastAsia="zh-CN"/>
        </w:rPr>
        <w:t>珞珈管理评论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333"/>
          <w:spacing w:val="0"/>
          <w:sz w:val="28"/>
          <w:szCs w:val="28"/>
          <w:shd w:val="clear" w:fill="FFFFFF"/>
        </w:rPr>
        <w:t>》投稿指南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0" w:afterAutospacing="0" w:line="290" w:lineRule="atLeast"/>
        <w:ind w:left="0" w:right="0" w:firstLine="278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（202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年修订）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290" w:lineRule="atLeast"/>
        <w:ind w:left="0" w:right="0" w:firstLine="28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16"/>
          <w:szCs w:val="16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《珞珈管理评论》是由武汉大学主管、武汉大学经济与管理学院主办的管理类集刊，创办于2007年，由武汉大学出版社出版。2017年入选《中文社会科学引文索引(2017- 2018年)来源集刊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目录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》(CSSC1) 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2023年一直持续入选CSSCI集刊目录；2023年入选AMI核心集刊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年，《珞珈管理评论》由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季刊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改为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双月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国家哲学社会科学学术期刊数据库（NSSD）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、中国知网、超星、万方、重庆维普、博看网等收录、发布，被列入中国人民大学复印资料中心重要转载期刊，为全国一百多所高等院校图书馆或相应院系资料室收藏。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《珞珈管理评论》以服务中国管理理论与实践的创新为宗旨，以促进管理学学科繁荣发展为使命。本集刊主要刊发工商管理学领域有关本士问题、本土情境的学术论文，重点关注企业战略与创新管理、组织行为与人力资源管理、会计与财务金融、管理科学与运营管理、市场营销与旅游管理等研究领域。热忱欢迎国内外管理学研究者踊跃赐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敬请作者注意以下事项: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8" w:firstLineChars="232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投稿须知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3F3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所投稿件须是原创性作品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作者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对数据来源承担全部责任，不存在违反相关保密规定的问题。因抄袭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等原因引发知识产权纠纷，作者将负全责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，编辑部保留追究作者责任的权利，并将其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列入“黑名单”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3F3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所投稿件应确保未一稿两投或多投，包括未局部改动后投给其他报刊；且论文所涉及内容不得先于本刊在其他公开出版物（包括期刊、报纸、专著、论文集、学术网站等）上发表。初审通过的稿件将一律通过“社科期刊学术不端文献检测系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”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检查重复率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控制在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15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%以内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鼓励研究范式的多元化，欢迎应用各种研究方法的质性研究和量化研究论文，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提倡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“研究中国问题，贡献中国智慧”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突出问题导向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，关注重大的理论和现实问题，将“思想创新”作为最高追求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稿件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字数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2万-2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万字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(有价值的综述性论文，可放宽到2万字以上)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论文篇幅应与其贡献相匹配，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本刊一般不采用未经邀请的文献综述类稿件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5.严格执行双向匿名评审制度，不收版面费、审稿费等任何费用。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不委托任何第三方代为征稿、组稿。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鼓励学术合作，但摒弃任何搭便车行为。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论文投稿后不允许增加作者、变更作者顺序。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未通过编辑部初审、复审及匿名评审、终审等的稿件，编辑部不再接受二次投稿，包括修改稿。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投稿、查稿方式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1.启用网上投稿、审稿系统，请作者进入本网站(http: //jmr. whu. edu. cn) 的“作者中心”在线投稿。根据相关提示操作，即可完成注册、投稿。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C00000"/>
          <w:spacing w:val="0"/>
          <w:sz w:val="21"/>
          <w:szCs w:val="21"/>
          <w:u w:val="single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网上投稿时，请在上传“内容文件”栏目材料时，仅上传没有作者以及基金信息等的稿件正文，便于编辑部匿名提交外审；上传“原稿文件”栏目时，在正文前增加1页，包括题目、作者、单位、内容提要（中文）、关键词、作者简介、联系方式（手机以及邮箱）、基金项目、样刊邮寄地址（顺丰到付）9要素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C00000"/>
          <w:spacing w:val="0"/>
          <w:sz w:val="21"/>
          <w:szCs w:val="21"/>
          <w:u w:val="single"/>
          <w:shd w:val="clear" w:fill="FFFFFF"/>
        </w:rPr>
        <w:t>请作者注意：“原稿文件”与“内容文件”上传的稿件内容是有区别的，原稿文件包含了作者和基金等9要素信息，内容文件则需要将9要素信息全部隐去。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完成投稿后，作者通过“作者中心”在线查询稿件处理状态。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本刊初审周期为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15个工作日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4.上传文稿为Word和PDF两种格式，请用正式的G B简体汉字横排书写，文字清晰，标点符号规范合理，句段语义完整，全文连贯通畅，可读性好；图表、公式、符号、上下角标、外文字母印刷体应符合规范。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5.来稿录用后，按规定赠予当期印刷物两本(若作者较多，会酌情加寄)。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6.正文体例、注释、引文和参考文献，各著录项的具体格式请参照本投稿指南附件（附录）。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.作者应保证拥有论文的全部版权(包括重印、翻译、图像制作、微缩、电子制作和一切类似的重新制作)。作者向本集刊投稿行为即视做作者同意将该论文的版权，包括纸质出版、电子出版、多媒体出版、网络出版、翻译出版及其他形式的出版权利，自动转让给《珞珈管理评论》编辑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72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附录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标题、作者信息格式如下：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32" w:right="0" w:right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drawing>
          <wp:inline distT="0" distB="0" distL="114300" distR="114300">
            <wp:extent cx="5095875" cy="161925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2"/>
          <w:sz w:val="21"/>
          <w:szCs w:val="21"/>
          <w:shd w:val="clear" w:fill="FFFFFF"/>
          <w:lang w:val="en-US" w:eastAsia="zh-CN" w:bidi="ar-SA"/>
        </w:rPr>
        <w:br w:type="page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中文摘要关键词、中图分类号格式如下：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72405" cy="2169160"/>
            <wp:effectExtent l="0" t="0" r="1079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基金信息格式如下：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69230" cy="860425"/>
            <wp:effectExtent l="0" t="0" r="1397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各级标题参考：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1543050" cy="3810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3397885" cy="836295"/>
            <wp:effectExtent l="0" t="0" r="571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161280" cy="1193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l="2072"/>
                    <a:stretch>
                      <a:fillRect/>
                    </a:stretch>
                  </pic:blipFill>
                  <pic:spPr>
                    <a:xfrm>
                      <a:off x="0" y="0"/>
                      <a:ext cx="516128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图表紧接文字内容：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038725" cy="1838325"/>
            <wp:effectExtent l="0" t="0" r="15875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7" w:firstLineChars="232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投稿前自查参考文献格式：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73040" cy="938530"/>
            <wp:effectExtent l="0" t="0" r="1016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181600" cy="1019175"/>
            <wp:effectExtent l="0" t="0" r="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69865" cy="641985"/>
            <wp:effectExtent l="0" t="0" r="13335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</w:pPr>
      <w:r>
        <w:drawing>
          <wp:inline distT="0" distB="0" distL="114300" distR="114300">
            <wp:extent cx="5257800" cy="438150"/>
            <wp:effectExtent l="0" t="0" r="0" b="190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32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191125" cy="952500"/>
            <wp:effectExtent l="0" t="0" r="15875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69224"/>
    <w:multiLevelType w:val="singleLevel"/>
    <w:tmpl w:val="8CD692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FD01A2"/>
    <w:multiLevelType w:val="singleLevel"/>
    <w:tmpl w:val="1FFD01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ZTg4MDk4YTM4M2MyNmVmMTE2ZTY1Y2NlZWYzZWQifQ=="/>
  </w:docVars>
  <w:rsids>
    <w:rsidRoot w:val="0CF07409"/>
    <w:rsid w:val="06F66949"/>
    <w:rsid w:val="083E753E"/>
    <w:rsid w:val="092141C1"/>
    <w:rsid w:val="0AD725EA"/>
    <w:rsid w:val="0B642CE9"/>
    <w:rsid w:val="0CF07409"/>
    <w:rsid w:val="0DAC1784"/>
    <w:rsid w:val="0FEA0D06"/>
    <w:rsid w:val="13392DCD"/>
    <w:rsid w:val="14F829B8"/>
    <w:rsid w:val="16DF31F6"/>
    <w:rsid w:val="17C07D32"/>
    <w:rsid w:val="18377041"/>
    <w:rsid w:val="18B7BE10"/>
    <w:rsid w:val="1B636B19"/>
    <w:rsid w:val="29590CA3"/>
    <w:rsid w:val="2C383148"/>
    <w:rsid w:val="2D231FB8"/>
    <w:rsid w:val="2DC8275F"/>
    <w:rsid w:val="302F2145"/>
    <w:rsid w:val="340E7710"/>
    <w:rsid w:val="34D96C06"/>
    <w:rsid w:val="37402A6A"/>
    <w:rsid w:val="3A3C2818"/>
    <w:rsid w:val="3C37397E"/>
    <w:rsid w:val="3CD71A19"/>
    <w:rsid w:val="3DC07D6D"/>
    <w:rsid w:val="3EB35753"/>
    <w:rsid w:val="40B11C14"/>
    <w:rsid w:val="455E3D2A"/>
    <w:rsid w:val="55673ADD"/>
    <w:rsid w:val="57A2007B"/>
    <w:rsid w:val="59582E49"/>
    <w:rsid w:val="59854F5C"/>
    <w:rsid w:val="5EE57563"/>
    <w:rsid w:val="5F742A1E"/>
    <w:rsid w:val="620121B5"/>
    <w:rsid w:val="67054947"/>
    <w:rsid w:val="68BC0DCC"/>
    <w:rsid w:val="69527BE9"/>
    <w:rsid w:val="6DEF5C2B"/>
    <w:rsid w:val="6FA67303"/>
    <w:rsid w:val="71EF4F28"/>
    <w:rsid w:val="73F640ED"/>
    <w:rsid w:val="74154EFE"/>
    <w:rsid w:val="75AB44BA"/>
    <w:rsid w:val="79344625"/>
    <w:rsid w:val="7B886B7E"/>
    <w:rsid w:val="7BC9A8D2"/>
    <w:rsid w:val="7FFE45CC"/>
    <w:rsid w:val="8FFF2A85"/>
    <w:rsid w:val="97AF94A0"/>
    <w:rsid w:val="BAEFD45B"/>
    <w:rsid w:val="EEF5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2024-02-17T04:53:00Z</dcterms:created>
  <dc:creator>Administrator</dc:creator>
  <cp:lastModifiedBy>熊继伟</cp:lastModifiedBy>
  <dcterms:modified xsi:type="dcterms:W3CDTF">2024-06-18T17:48:28Z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0E7E5E39D8852E18FC3EDB6540188F38_43</vt:lpwstr>
  </property>
</Properties>
</file>